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91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pacing w:val="-20"/>
          <w:sz w:val="36"/>
          <w:szCs w:val="36"/>
        </w:rPr>
      </w:pPr>
      <w:r>
        <w:rPr>
          <w:rFonts w:hint="eastAsia" w:ascii="黑体" w:hAnsi="黑体" w:eastAsia="黑体" w:cs="黑体"/>
          <w:spacing w:val="-20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pacing w:val="-20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pacing w:val="-20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pacing w:val="-2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pacing w:val="-20"/>
          <w:sz w:val="36"/>
          <w:szCs w:val="36"/>
          <w:lang w:eastAsia="zh-CN"/>
        </w:rPr>
        <w:t>关于</w:t>
      </w:r>
      <w:r>
        <w:rPr>
          <w:rFonts w:hint="eastAsia" w:ascii="黑体" w:hAnsi="黑体" w:eastAsia="黑体" w:cs="黑体"/>
          <w:spacing w:val="-20"/>
          <w:sz w:val="36"/>
          <w:szCs w:val="36"/>
          <w:lang w:val="en-US" w:eastAsia="zh-CN"/>
        </w:rPr>
        <w:t>2022年中省财政衔接资金周原镇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pacing w:val="-20"/>
          <w:sz w:val="36"/>
          <w:szCs w:val="36"/>
        </w:rPr>
      </w:pPr>
      <w:r>
        <w:rPr>
          <w:rFonts w:hint="eastAsia" w:ascii="黑体" w:hAnsi="黑体" w:eastAsia="黑体" w:cs="黑体"/>
          <w:spacing w:val="-20"/>
          <w:sz w:val="36"/>
          <w:szCs w:val="36"/>
          <w:lang w:val="en-US" w:eastAsia="zh-CN"/>
        </w:rPr>
        <w:t>营子头村农业社会化服务中心建设项目</w:t>
      </w:r>
      <w:r>
        <w:rPr>
          <w:rFonts w:hint="eastAsia" w:ascii="黑体" w:hAnsi="黑体" w:eastAsia="黑体" w:cs="黑体"/>
          <w:spacing w:val="-20"/>
          <w:sz w:val="36"/>
          <w:szCs w:val="36"/>
          <w:lang w:eastAsia="zh-CN"/>
        </w:rPr>
        <w:t>实施方案</w:t>
      </w:r>
      <w:r>
        <w:rPr>
          <w:rFonts w:hint="eastAsia" w:ascii="黑体" w:hAnsi="黑体" w:eastAsia="黑体" w:cs="黑体"/>
          <w:spacing w:val="-20"/>
          <w:sz w:val="36"/>
          <w:szCs w:val="36"/>
        </w:rPr>
        <w:t>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0" w:firstLineChars="0"/>
        <w:jc w:val="both"/>
        <w:textAlignment w:val="auto"/>
        <w:rPr>
          <w:rFonts w:hint="eastAsia" w:ascii="黑体" w:hAnsi="黑体" w:eastAsia="黑体" w:cs="黑体"/>
          <w:spacing w:val="-2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jc w:val="both"/>
        <w:textAlignment w:val="auto"/>
        <w:rPr>
          <w:rFonts w:hint="eastAsia" w:ascii="方正公文小标宋" w:hAnsi="方正公文小标宋" w:eastAsia="方正公文小标宋" w:cs="方正公文小标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周原镇人民政府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关于上报营子头村农业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社会化服务中心建设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的报告</w:t>
      </w:r>
      <w:r>
        <w:rPr>
          <w:rFonts w:hint="eastAsia" w:ascii="仿宋" w:hAnsi="仿宋" w:eastAsia="仿宋" w:cs="仿宋"/>
          <w:sz w:val="32"/>
          <w:szCs w:val="32"/>
        </w:rPr>
        <w:t>》(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周镇政字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〔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〕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经3月26日宝鸡市陈仓区2022年中省财政衔接资金项目评审会公开质询评审，该项目符合项目管理规定，同意你镇实施营子头村农业社会化服务中心建设项目，现批复如下：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  <w:t>（一）建设地点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营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周原镇营子头村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  <w:t>（二）建设规模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1.新建轻钢结构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粮食临时储藏库563平方米。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default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2.购置农机具12台套。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  <w:t>（三）建设项目内容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项目实施的主体为陈仓区周原镇人民政府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eastAsia="zh-CN"/>
        </w:rPr>
        <w:t>。建设内容为钢结构粮食临时储藏库563平方米，长37.14米，宽15.18米，高6米，柱距采用6.0m经济型柱距，购置4LZ-9E2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雷沃谷神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eastAsia="zh-CN"/>
        </w:rPr>
        <w:t>小麦收割机2台，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雷沃欧豹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eastAsia="zh-CN"/>
        </w:rPr>
        <w:t>2004拖拉机2台，龙丰液压翻转犁2套，大疆无人喷雾机1台，鲁工抓草机1台，西安亚奥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250G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eastAsia="zh-CN"/>
        </w:rPr>
        <w:t>旋耕机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2台，农乐(兴农）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eastAsia="zh-CN"/>
        </w:rPr>
        <w:t>土豆收获机1台，山东奥龙深松免耕分层施肥精良播种机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1台，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eastAsia="zh-CN"/>
        </w:rPr>
        <w:t>修建水肥一体化300亩配套设施，维修旧井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1眼，新建机井房，配套水泵及电缆线等。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二、项目招标方式确定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15"/>
          <w:szCs w:val="15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根据农业生产实际，因项目投资结构中建设投资比重不大和项目投产期限紧等特定原因，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为节省前期成本和争取夏收前投产，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拟采用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邀请招标方式进行项目发包。</w:t>
      </w:r>
      <w:r>
        <w:rPr>
          <w:rFonts w:hint="eastAsia" w:ascii="仿宋_GB2312" w:hAnsi="仿宋_GB2312" w:eastAsia="仿宋_GB2312" w:cs="仿宋_GB2312"/>
          <w:sz w:val="15"/>
          <w:szCs w:val="15"/>
          <w:highlight w:val="none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三、项目工期安排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2022年5月20日完成项目工程建设。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2022年6月底前，完成项目后续结算并完成项目审计工作，开展自查验收，申请区级验收，完善档案，镇政府负责绩效评估资料上报。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2022年7月底前完成项目施工、监理、报账及公示资料报送。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仿宋" w:hAnsi="仿宋" w:eastAsia="仿宋" w:cs="黑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  <w:t>四、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</w:rPr>
        <w:t>投资估算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：</w:t>
      </w:r>
      <w:r>
        <w:rPr>
          <w:rFonts w:ascii="仿宋" w:hAnsi="仿宋" w:eastAsia="仿宋" w:cs="黑体"/>
          <w:b/>
          <w:bCs/>
          <w:color w:val="auto"/>
          <w:sz w:val="32"/>
          <w:szCs w:val="32"/>
          <w:highlight w:val="none"/>
        </w:rPr>
        <w:t xml:space="preserve"> </w:t>
      </w:r>
    </w:p>
    <w:p>
      <w:pPr>
        <w:pStyle w:val="2"/>
        <w:widowControl w:val="0"/>
        <w:numPr>
          <w:ilvl w:val="0"/>
          <w:numId w:val="0"/>
        </w:numPr>
        <w:spacing w:line="560" w:lineRule="exact"/>
        <w:jc w:val="center"/>
      </w:pPr>
    </w:p>
    <w:p>
      <w:pPr>
        <w:pStyle w:val="2"/>
        <w:widowControl w:val="0"/>
        <w:numPr>
          <w:ilvl w:val="0"/>
          <w:numId w:val="0"/>
        </w:numPr>
        <w:spacing w:line="560" w:lineRule="exact"/>
        <w:jc w:val="center"/>
        <w:rPr>
          <w:rFonts w:hint="eastAsia" w:eastAsia="方正小标宋简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tbl>
      <w:tblPr>
        <w:tblStyle w:val="5"/>
        <w:tblW w:w="4984" w:type="pct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3173"/>
        <w:gridCol w:w="853"/>
        <w:gridCol w:w="1242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子项</w:t>
            </w:r>
          </w:p>
        </w:tc>
        <w:tc>
          <w:tcPr>
            <w:tcW w:w="18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型号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数量</w:t>
            </w:r>
          </w:p>
        </w:tc>
        <w:tc>
          <w:tcPr>
            <w:tcW w:w="7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总价（元）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0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储藏库</w:t>
            </w:r>
          </w:p>
        </w:tc>
        <w:tc>
          <w:tcPr>
            <w:tcW w:w="18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钢结构，长37.14米，宽15.18米，高6米，柱距采用6.0m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563㎡</w:t>
            </w:r>
          </w:p>
        </w:tc>
        <w:tc>
          <w:tcPr>
            <w:tcW w:w="7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982.6元</w:t>
            </w: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55.32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8" w:hRule="atLeast"/>
        </w:trPr>
        <w:tc>
          <w:tcPr>
            <w:tcW w:w="10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水肥一体化</w:t>
            </w:r>
          </w:p>
        </w:tc>
        <w:tc>
          <w:tcPr>
            <w:tcW w:w="18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1、施肥机定时控制三通道施肥机3*600L/h（1台）  2、施肥桶600L带搅拌机（3套）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3、施肥过滤器1寸Y型叠片过滤器及连接管路（3套）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4、首部管路配件总成DN80线缆 控制线施连接件（1套）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5、 LX090F离心砂石过滤器，法兰接头，3寸(50m /h)（1台）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6、双组合过滤流量40m/h进出口3寸（1台）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7、远传压力表与远程遥控启停控制（1台）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8、底阀DN80（1个）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9、逆止阀DN80（1个）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10、蝶阀DN80PVC材料（1个）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11、软接DN80（1个）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12、吸水管组及连接件（1套）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300亩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45.6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福田小麦收割机</w:t>
            </w:r>
          </w:p>
        </w:tc>
        <w:tc>
          <w:tcPr>
            <w:tcW w:w="18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雷沃谷神4LZ-9E2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2台</w:t>
            </w:r>
          </w:p>
        </w:tc>
        <w:tc>
          <w:tcPr>
            <w:tcW w:w="7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15.8万元</w:t>
            </w: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31.6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拖拉机</w:t>
            </w:r>
          </w:p>
        </w:tc>
        <w:tc>
          <w:tcPr>
            <w:tcW w:w="18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雷沃欧豹2004型2台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2台</w:t>
            </w:r>
          </w:p>
        </w:tc>
        <w:tc>
          <w:tcPr>
            <w:tcW w:w="7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24.25万元</w:t>
            </w: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48.5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大疆无人机</w:t>
            </w:r>
          </w:p>
        </w:tc>
        <w:tc>
          <w:tcPr>
            <w:tcW w:w="18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TP20P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1台</w:t>
            </w:r>
          </w:p>
        </w:tc>
        <w:tc>
          <w:tcPr>
            <w:tcW w:w="7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6.98万元</w:t>
            </w: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6.98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土豆收获机</w:t>
            </w:r>
          </w:p>
        </w:tc>
        <w:tc>
          <w:tcPr>
            <w:tcW w:w="18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农乐200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1台</w:t>
            </w:r>
          </w:p>
        </w:tc>
        <w:tc>
          <w:tcPr>
            <w:tcW w:w="7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5.2万元</w:t>
            </w: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5.2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0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抓草机</w:t>
            </w:r>
          </w:p>
        </w:tc>
        <w:tc>
          <w:tcPr>
            <w:tcW w:w="18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鲁工938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1台</w:t>
            </w:r>
          </w:p>
        </w:tc>
        <w:tc>
          <w:tcPr>
            <w:tcW w:w="7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6.8万元</w:t>
            </w: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6.8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液压犁</w:t>
            </w:r>
          </w:p>
        </w:tc>
        <w:tc>
          <w:tcPr>
            <w:tcW w:w="18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L12-11X-14-3龙丰355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2台</w:t>
            </w:r>
          </w:p>
        </w:tc>
        <w:tc>
          <w:tcPr>
            <w:tcW w:w="7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3.3万元</w:t>
            </w: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6.6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旋耕机</w:t>
            </w:r>
          </w:p>
        </w:tc>
        <w:tc>
          <w:tcPr>
            <w:tcW w:w="18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西安亚奥250G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2台</w:t>
            </w:r>
          </w:p>
        </w:tc>
        <w:tc>
          <w:tcPr>
            <w:tcW w:w="7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1.95万元</w:t>
            </w: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3.9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0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深松免耕施肥精播机宽幅播</w:t>
            </w:r>
          </w:p>
        </w:tc>
        <w:tc>
          <w:tcPr>
            <w:tcW w:w="18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en-US"/>
              </w:rPr>
              <w:t>山东奥龙2BY5F-5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1台</w:t>
            </w:r>
          </w:p>
        </w:tc>
        <w:tc>
          <w:tcPr>
            <w:tcW w:w="7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5.9万元</w:t>
            </w: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5.9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0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旧井维修改造</w:t>
            </w:r>
          </w:p>
        </w:tc>
        <w:tc>
          <w:tcPr>
            <w:tcW w:w="18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新建机房12平方米，旧井洗井（空压机）水泵更换200QJ186-20-18.5含DN80钢泵管160m一套防水电缆YJV3*10 主电源电YJV3*25+1*16  配电柜一套。</w:t>
            </w: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1眼（180深）</w:t>
            </w:r>
          </w:p>
        </w:tc>
        <w:tc>
          <w:tcPr>
            <w:tcW w:w="7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11.6万元</w:t>
            </w: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0" w:firstLineChars="0"/>
              <w:jc w:val="center"/>
              <w:textAlignment w:val="auto"/>
              <w:rPr>
                <w:sz w:val="21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11.6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10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总投资成本</w:t>
            </w:r>
          </w:p>
        </w:tc>
        <w:tc>
          <w:tcPr>
            <w:tcW w:w="18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50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3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8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sz w:val="22"/>
                <w:szCs w:val="22"/>
                <w:highlight w:val="none"/>
                <w:lang w:val="en-US" w:eastAsia="zh-CN"/>
              </w:rPr>
              <w:t>228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五、对脱贫户的扶持情况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该项目作为发展农村经济、提升带贫益贫致富水平项目，坚持脱贫户优先参与项目建设，吸纳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136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户脱贫家庭劳动力在项目建设阶段参与务工，按市场价格付给劳务费用，增加脱贫家庭收入渠道。在项目建成运营环节，对脱贫家庭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人进行农业机械操作技术培训，使脱贫人员掌握新型农业机械使用技能，全程参与农业社会化服务。通过让脱贫人员掌握科学技能，提高自身生存技能和家庭收入渠道，从而稳定增加家庭收入，由政策性脱贫向技能型脱贫转变，从根本上稳固脱贫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六、资金筹措方案及财政衔接资金用途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该项目建设资金预算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228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万元，资金筹措来源为省级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财政衔接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补助资金。资金使用主要包括：新建粮食储藏库、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水肥一体化、旧井维修改造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和购置农业机械，其中用于农业设施建设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116.42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购置农业机械111.58万元。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 w:cs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七、项目绩效目标及社会效益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项目建设预期经济效益，项目</w:t>
      </w:r>
      <w:r>
        <w:rPr>
          <w:rFonts w:ascii="仿宋" w:hAnsi="仿宋" w:eastAsia="仿宋"/>
          <w:color w:val="auto"/>
          <w:sz w:val="32"/>
          <w:szCs w:val="32"/>
          <w:highlight w:val="none"/>
          <w:lang w:eastAsia="zh-CN"/>
        </w:rPr>
        <w:t>建成后对全村经济发展和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脱贫人口帮扶具有重要意义</w:t>
      </w:r>
      <w:r>
        <w:rPr>
          <w:rFonts w:ascii="仿宋" w:hAnsi="仿宋" w:eastAsia="仿宋"/>
          <w:color w:val="auto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0" w:firstLineChars="196"/>
        <w:textAlignment w:val="auto"/>
        <w:rPr>
          <w:rFonts w:ascii="仿宋" w:hAnsi="仿宋" w:eastAsia="仿宋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/>
          <w:bCs/>
          <w:color w:val="auto"/>
          <w:sz w:val="32"/>
          <w:szCs w:val="32"/>
          <w:highlight w:val="none"/>
          <w:lang w:eastAsia="zh-CN"/>
        </w:rPr>
        <w:t>（一）经济效益预期：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村农业社会化服务中心建设项目建成，全村主要粮食作物耕、种、收综合机械化水平达到</w:t>
      </w:r>
      <w:r>
        <w:rPr>
          <w:rFonts w:ascii="仿宋" w:hAnsi="仿宋" w:eastAsia="仿宋" w:cs="宋体"/>
          <w:color w:val="auto"/>
          <w:sz w:val="32"/>
          <w:szCs w:val="32"/>
          <w:highlight w:val="none"/>
          <w:lang w:eastAsia="zh-CN"/>
        </w:rPr>
        <w:t>96%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以上，可以实现全村近千余人次从田间劳作中解放出来，从事当地二、三产业发展或外出务工，预计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户均可增加收入2000元以上，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2022年全村可增加经济收入103万元以上，对发展全村经济，提高全村农户收入，经济效益十分可观。并且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在2022年夏秋两季收种中，新建设施和购置机械全部投入使用，充分发挥项目效益，预计年生产粮食超过1500吨。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0" w:firstLineChars="196"/>
        <w:textAlignment w:val="auto"/>
        <w:rPr>
          <w:rFonts w:hint="eastAsia" w:ascii="仿宋" w:hAnsi="仿宋" w:eastAsia="仿宋" w:cs="宋体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宋体"/>
          <w:b/>
          <w:color w:val="auto"/>
          <w:sz w:val="32"/>
          <w:szCs w:val="32"/>
          <w:highlight w:val="none"/>
          <w:lang w:eastAsia="zh-CN"/>
        </w:rPr>
        <w:t>（二）社会效益预期：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textAlignment w:val="auto"/>
        <w:rPr>
          <w:rFonts w:ascii="仿宋" w:hAnsi="仿宋" w:eastAsia="仿宋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1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农业社会化服务中心建设项目建成，将全面提高全村农业生产社会化服务能力，完善农业专业化服务市场，提升种植、加工、销售能力和水平，有效推动村组土地良性流转、机械化耕种、专业化服务行为，推动全村农业发展向现代化迈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textAlignment w:val="auto"/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2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农业社会化服务中心建设和投入运营，为脱贫家庭提供了掌握就业技能和增加非农业收入渠道，可以为脱贫家庭提供50个以上稳定就业岗位，提升由政策性脱贫向技能性脱贫转变效果。从根本上稳定脱贫成果。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" w:hAnsi="仿宋" w:eastAsia="仿宋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3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" w:hAnsi="仿宋" w:eastAsia="仿宋" w:cs="宋体"/>
          <w:color w:val="auto"/>
          <w:sz w:val="32"/>
          <w:szCs w:val="32"/>
          <w:highlight w:val="none"/>
          <w:lang w:eastAsia="zh-CN"/>
        </w:rPr>
        <w:t>配置机械化性能更高的农业机械，可以极大的提高种植、耕作效益，杜绝重大农机安全事故，保证全村农业经济高效安全快速发展。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八、项目实施要求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夯实责任，加强项目实施管理。项目镇街要切实落实项目实施主体责任，按照省市区财政衔接资金项目管理办法及实施要求，严格落实项目库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2.规范管理，管好用好项目资金。按照区财政局、区乡村振兴局等六部门《关于印发&lt;宝鸡市陈仓区财政衔接推进乡村振兴补助资金管理办法&gt;的通知》（宝陈财农字〔2021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3.加强协调，确保按期完成项目建设任务。项目镇街要加强实施组织协调，充分调动设计、施工、监理及项目村积极性，为项目落实施工提供有力保障，确保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月底前完成项目建设任务、资金兑付和报账工作，接受上级检查验收。同时，提早动手做好项目资产确权移交和后期运维管理等工作。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3520" w:firstLineChars="11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3520" w:firstLineChars="1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416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26日</w:t>
      </w: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5pt;margin-top:20.75pt;height:0pt;width:441pt;z-index:251660288;mso-width-relative:page;mso-height-relative:page;" filled="f" stroked="t" coordsize="21600,21600" o:gfxdata="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Df/dhtYAAAAIAQAADwAAAAAAAAABACAAAAAiAAAAZHJzL2Rvd25yZXYueG1s&#10;UEsBAhQAFAAAAAgAh07iQK8182T6AQAA8gMAAA4AAAAAAAAAAQAgAAAAJQ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6985</wp:posOffset>
                </wp:positionV>
                <wp:extent cx="54864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1pt;margin-top:0.55pt;height:0pt;width:432pt;z-index:251659264;mso-width-relative:page;mso-height-relative:page;" filled="f" stroked="t" coordsize="21600,21600" o:gfxdata="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ljKZXtMAAAAGAQAADwAAAAAAAAABACAAAAAiAAAAZHJzL2Rvd25yZXYueG1sUEsB&#10;AhQAFAAAAAgAh07iQINfQFr6AQAA8gMAAA4AAAAAAAAAAQAgAAAAI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313055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4.65pt;height:0.85pt;width:446.7pt;z-index:251661312;mso-width-relative:page;mso-height-relative:page;" filled="f" stroked="t" coordsize="21600,21600" o:gfxdata="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mEy2tgAAAAJAQAADwAAAAAAAAABACAAAAAiAAAAZHJz&#10;L2Rvd25yZXYueG1sUEsBAhQAFAAAAAgAh07iQIuhGS8EAgAAAAQAAA4AAAAAAAAAAQAgAAAAJwEA&#10;AGRycy9lMm9Eb2MueG1sUEsFBgAAAAAGAAYAWQEAAJ0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>局                  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26</w:t>
      </w:r>
      <w:r>
        <w:rPr>
          <w:rFonts w:hint="eastAsia" w:ascii="仿宋" w:hAnsi="仿宋" w:eastAsia="仿宋" w:cs="仿宋"/>
          <w:sz w:val="28"/>
          <w:szCs w:val="28"/>
        </w:rPr>
        <w:t>日印</w:t>
      </w:r>
      <w:r>
        <w:rPr>
          <w:rFonts w:hint="eastAsia" w:ascii="仿宋" w:hAnsi="仿宋" w:eastAsia="仿宋" w:cs="仿宋"/>
          <w:sz w:val="30"/>
          <w:szCs w:val="30"/>
        </w:rPr>
        <w:t>发</w:t>
      </w:r>
      <w:r>
        <w:rPr>
          <w:rFonts w:ascii="??_GB2312" w:eastAsia="Times New Roman"/>
          <w:sz w:val="30"/>
          <w:szCs w:val="30"/>
        </w:rPr>
        <w:t xml:space="preserve"> </w:t>
      </w:r>
      <w:r>
        <w:rPr>
          <w:rFonts w:ascii="??_GB2312" w:eastAsia="Times New Roman"/>
          <w:sz w:val="3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B9983FF-A432-468C-9341-5BE73A5B803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2" w:fontKey="{1EFBE1F5-A642-4C45-A0EF-758DE9F7CFC5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01B107B-2D04-42AB-BA5D-81AAF0CE1D70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153AA4D9-C38A-4278-B7C2-9F22BBDB889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4F2E1739-1262-41F4-A674-A02A28D33554}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ZTQ0ZGRlMDlhM2NmMThmZTM3MDIwNzQ4ZGEzMzQifQ=="/>
  </w:docVars>
  <w:rsids>
    <w:rsidRoot w:val="00000000"/>
    <w:rsid w:val="013C1960"/>
    <w:rsid w:val="015964E2"/>
    <w:rsid w:val="016A71AA"/>
    <w:rsid w:val="0173356F"/>
    <w:rsid w:val="01B7106F"/>
    <w:rsid w:val="01D9311E"/>
    <w:rsid w:val="025020A0"/>
    <w:rsid w:val="031C7C80"/>
    <w:rsid w:val="034E05ED"/>
    <w:rsid w:val="041939F1"/>
    <w:rsid w:val="04BA2E5A"/>
    <w:rsid w:val="04BF1E96"/>
    <w:rsid w:val="05466DC0"/>
    <w:rsid w:val="056412FD"/>
    <w:rsid w:val="05B9667F"/>
    <w:rsid w:val="05BB7F6D"/>
    <w:rsid w:val="06220804"/>
    <w:rsid w:val="072C3F89"/>
    <w:rsid w:val="080B69A0"/>
    <w:rsid w:val="08415968"/>
    <w:rsid w:val="08872B64"/>
    <w:rsid w:val="089C056F"/>
    <w:rsid w:val="08B57E78"/>
    <w:rsid w:val="09560185"/>
    <w:rsid w:val="0985240E"/>
    <w:rsid w:val="09CB4464"/>
    <w:rsid w:val="0B3D6714"/>
    <w:rsid w:val="0B427524"/>
    <w:rsid w:val="0B7D1CB4"/>
    <w:rsid w:val="0BD22140"/>
    <w:rsid w:val="0C4C36FE"/>
    <w:rsid w:val="0C5B5716"/>
    <w:rsid w:val="0D9151F5"/>
    <w:rsid w:val="0DE45D90"/>
    <w:rsid w:val="0DF80726"/>
    <w:rsid w:val="0F0A795A"/>
    <w:rsid w:val="0F6D0294"/>
    <w:rsid w:val="0F8946C7"/>
    <w:rsid w:val="0FB70A4A"/>
    <w:rsid w:val="102305AE"/>
    <w:rsid w:val="11A11234"/>
    <w:rsid w:val="12E85031"/>
    <w:rsid w:val="13EE3647"/>
    <w:rsid w:val="15046177"/>
    <w:rsid w:val="169466EC"/>
    <w:rsid w:val="16C775D8"/>
    <w:rsid w:val="178C139F"/>
    <w:rsid w:val="1828475E"/>
    <w:rsid w:val="18620509"/>
    <w:rsid w:val="19730CD4"/>
    <w:rsid w:val="19815045"/>
    <w:rsid w:val="19AB16D4"/>
    <w:rsid w:val="1A4928F0"/>
    <w:rsid w:val="1ACD68AD"/>
    <w:rsid w:val="1B2B1202"/>
    <w:rsid w:val="1B397CC8"/>
    <w:rsid w:val="1BC07035"/>
    <w:rsid w:val="1C0877DE"/>
    <w:rsid w:val="1C890C76"/>
    <w:rsid w:val="1CA155CD"/>
    <w:rsid w:val="1D30319E"/>
    <w:rsid w:val="1D5228FA"/>
    <w:rsid w:val="1F0C0750"/>
    <w:rsid w:val="1F2145E9"/>
    <w:rsid w:val="1F307B53"/>
    <w:rsid w:val="1F3215D5"/>
    <w:rsid w:val="1FB51BA8"/>
    <w:rsid w:val="20406AE2"/>
    <w:rsid w:val="20422FC2"/>
    <w:rsid w:val="208E5716"/>
    <w:rsid w:val="20B935BA"/>
    <w:rsid w:val="20E47DFA"/>
    <w:rsid w:val="211C634F"/>
    <w:rsid w:val="212E3875"/>
    <w:rsid w:val="240F5891"/>
    <w:rsid w:val="249F6004"/>
    <w:rsid w:val="24DE4884"/>
    <w:rsid w:val="2584170C"/>
    <w:rsid w:val="25C916A3"/>
    <w:rsid w:val="262300F5"/>
    <w:rsid w:val="26817DC5"/>
    <w:rsid w:val="26BB59F0"/>
    <w:rsid w:val="27827809"/>
    <w:rsid w:val="27D77668"/>
    <w:rsid w:val="28C12475"/>
    <w:rsid w:val="28F151FC"/>
    <w:rsid w:val="29950F4B"/>
    <w:rsid w:val="29B3094F"/>
    <w:rsid w:val="2A8B5F4F"/>
    <w:rsid w:val="2C1F0FAA"/>
    <w:rsid w:val="2E241E69"/>
    <w:rsid w:val="2F920BC1"/>
    <w:rsid w:val="2FF11021"/>
    <w:rsid w:val="3002590A"/>
    <w:rsid w:val="307F42DA"/>
    <w:rsid w:val="31487804"/>
    <w:rsid w:val="31A2351D"/>
    <w:rsid w:val="32837FE3"/>
    <w:rsid w:val="32C63C4D"/>
    <w:rsid w:val="32CC03D3"/>
    <w:rsid w:val="334D63D9"/>
    <w:rsid w:val="338318B1"/>
    <w:rsid w:val="33CA43F0"/>
    <w:rsid w:val="33E65708"/>
    <w:rsid w:val="34762254"/>
    <w:rsid w:val="3532384A"/>
    <w:rsid w:val="366E7A20"/>
    <w:rsid w:val="36FE3E72"/>
    <w:rsid w:val="37773AD4"/>
    <w:rsid w:val="38B67E28"/>
    <w:rsid w:val="38E027CB"/>
    <w:rsid w:val="39543BF7"/>
    <w:rsid w:val="398B4DB2"/>
    <w:rsid w:val="3A541839"/>
    <w:rsid w:val="3A984D80"/>
    <w:rsid w:val="3ABC2193"/>
    <w:rsid w:val="3AF464EB"/>
    <w:rsid w:val="3B09570E"/>
    <w:rsid w:val="3BED577A"/>
    <w:rsid w:val="3DE02D64"/>
    <w:rsid w:val="3E7A03FD"/>
    <w:rsid w:val="3EC34B32"/>
    <w:rsid w:val="3EE92FBC"/>
    <w:rsid w:val="3F2D547B"/>
    <w:rsid w:val="3F8101D4"/>
    <w:rsid w:val="40AE2759"/>
    <w:rsid w:val="4100133E"/>
    <w:rsid w:val="41711E74"/>
    <w:rsid w:val="43032E72"/>
    <w:rsid w:val="432861C5"/>
    <w:rsid w:val="449A48D6"/>
    <w:rsid w:val="45B02A52"/>
    <w:rsid w:val="4607686E"/>
    <w:rsid w:val="4625272D"/>
    <w:rsid w:val="46B300A5"/>
    <w:rsid w:val="474811FD"/>
    <w:rsid w:val="4B0A0ABA"/>
    <w:rsid w:val="4CF60FAF"/>
    <w:rsid w:val="4CFA148B"/>
    <w:rsid w:val="4D4F4BC7"/>
    <w:rsid w:val="4E497EF3"/>
    <w:rsid w:val="4FAB13F1"/>
    <w:rsid w:val="52082081"/>
    <w:rsid w:val="52E00474"/>
    <w:rsid w:val="5311637C"/>
    <w:rsid w:val="53764D8B"/>
    <w:rsid w:val="5523404F"/>
    <w:rsid w:val="55B85DD6"/>
    <w:rsid w:val="566A6423"/>
    <w:rsid w:val="5A2C3F9F"/>
    <w:rsid w:val="5A98175F"/>
    <w:rsid w:val="5AFE475B"/>
    <w:rsid w:val="5B4E4B41"/>
    <w:rsid w:val="5BCA4C2E"/>
    <w:rsid w:val="5C6E0D7C"/>
    <w:rsid w:val="5CAD7D03"/>
    <w:rsid w:val="5D5340D1"/>
    <w:rsid w:val="5DD96821"/>
    <w:rsid w:val="5DDE09B4"/>
    <w:rsid w:val="5E160887"/>
    <w:rsid w:val="61096C1C"/>
    <w:rsid w:val="61784244"/>
    <w:rsid w:val="62226B6A"/>
    <w:rsid w:val="6225543F"/>
    <w:rsid w:val="642632E3"/>
    <w:rsid w:val="64FE654E"/>
    <w:rsid w:val="65BA73EA"/>
    <w:rsid w:val="667C054B"/>
    <w:rsid w:val="66F57B61"/>
    <w:rsid w:val="68DC7865"/>
    <w:rsid w:val="69031739"/>
    <w:rsid w:val="69615E07"/>
    <w:rsid w:val="697932C0"/>
    <w:rsid w:val="6A464B68"/>
    <w:rsid w:val="6AAB7CCA"/>
    <w:rsid w:val="6B0D09C4"/>
    <w:rsid w:val="6B1A10E9"/>
    <w:rsid w:val="6B966854"/>
    <w:rsid w:val="6BB46DCF"/>
    <w:rsid w:val="6C37445E"/>
    <w:rsid w:val="6D5B0E49"/>
    <w:rsid w:val="6DF908E0"/>
    <w:rsid w:val="6E945EF0"/>
    <w:rsid w:val="6EE17098"/>
    <w:rsid w:val="70C95A3E"/>
    <w:rsid w:val="72BC7326"/>
    <w:rsid w:val="74D97A75"/>
    <w:rsid w:val="74F34607"/>
    <w:rsid w:val="759D217D"/>
    <w:rsid w:val="761107C1"/>
    <w:rsid w:val="762E49EE"/>
    <w:rsid w:val="76682BC7"/>
    <w:rsid w:val="76C2531B"/>
    <w:rsid w:val="7783304D"/>
    <w:rsid w:val="79B5154E"/>
    <w:rsid w:val="79BA420C"/>
    <w:rsid w:val="7A2C01C1"/>
    <w:rsid w:val="7A703437"/>
    <w:rsid w:val="7AA04DB2"/>
    <w:rsid w:val="7BB41D3A"/>
    <w:rsid w:val="7CBB698C"/>
    <w:rsid w:val="7D0E6CF9"/>
    <w:rsid w:val="7F5636E8"/>
    <w:rsid w:val="7F71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正文缩进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noFill/>
        <a:noFill/>
        <a:noFill/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2398</Words>
  <Characters>2714</Characters>
  <Lines>0</Lines>
  <Paragraphs>0</Paragraphs>
  <TotalTime>14</TotalTime>
  <ScaleCrop>false</ScaleCrop>
  <LinksUpToDate>false</LinksUpToDate>
  <CharactersWithSpaces>2745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天高云淡</cp:lastModifiedBy>
  <cp:lastPrinted>2022-04-27T06:47:20Z</cp:lastPrinted>
  <dcterms:modified xsi:type="dcterms:W3CDTF">2022-04-27T06:50:10Z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eyJoZGlkIjoiZmE4ZTQ0ZGRlMDlhM2NmMThmZTM3MDIwNzQ4ZGEzMzQifQ==</vt:lpwstr>
  </property>
</Properties>
</file>